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EC8" w:rsidRDefault="00F23F97">
      <w:pPr>
        <w:rPr>
          <w:rFonts w:asciiTheme="minorEastAsia" w:hAnsiTheme="minorEastAsia"/>
          <w:b/>
          <w:sz w:val="44"/>
          <w:szCs w:val="44"/>
        </w:rPr>
      </w:pPr>
      <w:r>
        <w:rPr>
          <w:rFonts w:hint="eastAsia"/>
        </w:rPr>
        <w:t xml:space="preserve">                       </w:t>
      </w:r>
      <w:r w:rsidRPr="00F23F97">
        <w:rPr>
          <w:rFonts w:asciiTheme="minorEastAsia" w:hAnsiTheme="minorEastAsia" w:hint="eastAsia"/>
          <w:b/>
          <w:sz w:val="44"/>
          <w:szCs w:val="44"/>
        </w:rPr>
        <w:t xml:space="preserve">  SAF答辩工作规范</w:t>
      </w:r>
    </w:p>
    <w:p w:rsidR="00F23F97" w:rsidRDefault="00F23F97" w:rsidP="00F23F97">
      <w:pPr>
        <w:pStyle w:val="a3"/>
        <w:numPr>
          <w:ilvl w:val="0"/>
          <w:numId w:val="2"/>
        </w:numPr>
        <w:ind w:firstLineChars="0"/>
        <w:rPr>
          <w:rFonts w:asciiTheme="minorEastAsia" w:hAnsiTheme="minorEastAsia"/>
          <w:b/>
          <w:sz w:val="24"/>
          <w:szCs w:val="24"/>
        </w:rPr>
      </w:pPr>
      <w:r w:rsidRPr="00F23F97">
        <w:rPr>
          <w:rFonts w:asciiTheme="minorEastAsia" w:hAnsiTheme="minorEastAsia" w:hint="eastAsia"/>
          <w:b/>
          <w:sz w:val="24"/>
          <w:szCs w:val="24"/>
        </w:rPr>
        <w:t>答辩资格审查标准</w:t>
      </w:r>
    </w:p>
    <w:p w:rsid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学生完成毕业论文写作，指导老师同意其参加答辩，知网查重</w:t>
      </w:r>
      <w:r>
        <w:rPr>
          <w:rFonts w:asciiTheme="minorEastAsia" w:hAnsiTheme="minorEastAsia" w:hint="eastAsia"/>
          <w:sz w:val="24"/>
          <w:szCs w:val="24"/>
        </w:rPr>
        <w:t>的</w:t>
      </w:r>
      <w:r w:rsidRPr="00F23F97">
        <w:rPr>
          <w:rFonts w:asciiTheme="minorEastAsia" w:hAnsiTheme="minorEastAsia" w:hint="eastAsia"/>
          <w:sz w:val="24"/>
          <w:szCs w:val="24"/>
        </w:rPr>
        <w:t>整体重复率</w:t>
      </w:r>
      <w:r w:rsidR="007B2137" w:rsidRPr="007B2137">
        <w:rPr>
          <w:rFonts w:asciiTheme="minorEastAsia" w:hAnsiTheme="minorEastAsia" w:hint="eastAsia"/>
          <w:sz w:val="24"/>
          <w:szCs w:val="24"/>
        </w:rPr>
        <w:t>不超过</w:t>
      </w:r>
      <w:r w:rsidRPr="00F23F97">
        <w:rPr>
          <w:rFonts w:asciiTheme="minorEastAsia" w:hAnsiTheme="minorEastAsia" w:hint="eastAsia"/>
          <w:sz w:val="24"/>
          <w:szCs w:val="24"/>
        </w:rPr>
        <w:t>25%，单篇引用重复率不超过5%，即可参加毕业论文答辩。</w:t>
      </w:r>
    </w:p>
    <w:p w:rsidR="00F23F97" w:rsidRPr="00F23F97" w:rsidRDefault="00F23F97" w:rsidP="00F23F97">
      <w:pPr>
        <w:pStyle w:val="a3"/>
        <w:numPr>
          <w:ilvl w:val="0"/>
          <w:numId w:val="2"/>
        </w:numPr>
        <w:spacing w:line="360" w:lineRule="auto"/>
        <w:ind w:firstLineChars="0"/>
        <w:rPr>
          <w:rFonts w:asciiTheme="minorEastAsia" w:hAnsiTheme="minorEastAsia"/>
          <w:b/>
          <w:sz w:val="24"/>
          <w:szCs w:val="24"/>
        </w:rPr>
      </w:pPr>
      <w:r w:rsidRPr="00F23F97">
        <w:rPr>
          <w:rFonts w:asciiTheme="minorEastAsia" w:hAnsiTheme="minorEastAsia" w:hint="eastAsia"/>
          <w:b/>
          <w:sz w:val="24"/>
          <w:szCs w:val="24"/>
        </w:rPr>
        <w:t>答辩工作流程及师生答辩要求</w:t>
      </w:r>
    </w:p>
    <w:p w:rsidR="00F23F97" w:rsidRPr="00F23F97" w:rsidRDefault="00F23F97" w:rsidP="00F23F97">
      <w:pPr>
        <w:pStyle w:val="a3"/>
        <w:numPr>
          <w:ilvl w:val="0"/>
          <w:numId w:val="3"/>
        </w:numPr>
        <w:spacing w:line="360" w:lineRule="auto"/>
        <w:ind w:firstLineChars="0"/>
        <w:rPr>
          <w:rFonts w:asciiTheme="minorEastAsia" w:hAnsiTheme="minorEastAsia"/>
          <w:sz w:val="24"/>
          <w:szCs w:val="24"/>
        </w:rPr>
      </w:pPr>
      <w:r w:rsidRPr="00F23F97">
        <w:rPr>
          <w:rFonts w:asciiTheme="minorEastAsia" w:hAnsiTheme="minorEastAsia" w:hint="eastAsia"/>
          <w:sz w:val="24"/>
          <w:szCs w:val="24"/>
        </w:rPr>
        <w:t>答辩前准备环节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1.答辩前，指导教师需提前告知学生论文答辩各个环节的注意事项。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（责任人：指导教师、学生）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2.答辩工作小组公布参加一辩学生名单以及答辩教师分配名单，指导教师需回避本人所指导的学生，论文工作委员会在分配各组答辩老师时，尽量由不同领域的老师构成。同时由学生工作部门协助安排答辩秘书，每个答辩组安排两位答辩秘书，答辩前由相关人员负责对答辩秘书进行培训，明确告知保密原则。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（责任人：论文工作委员会、答辩工作小组、教学秘书、辅导员）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3.答辩前，指导教师需提前将所指导学生的毕业论文（根据答辩教师人数</w:t>
      </w:r>
    </w:p>
    <w:p w:rsidR="00F23F97" w:rsidRPr="00F23F97" w:rsidRDefault="002C2DCE" w:rsidP="00F23F97">
      <w:pPr>
        <w:spacing w:line="360" w:lineRule="auto"/>
        <w:rPr>
          <w:rFonts w:asciiTheme="minorEastAsia" w:hAnsiTheme="minorEastAsia"/>
          <w:sz w:val="24"/>
          <w:szCs w:val="24"/>
        </w:rPr>
      </w:pPr>
      <w:r>
        <w:rPr>
          <w:rFonts w:asciiTheme="minorEastAsia" w:hAnsiTheme="minorEastAsia" w:hint="eastAsia"/>
          <w:sz w:val="24"/>
          <w:szCs w:val="24"/>
        </w:rPr>
        <w:t>而定）、毕业论文进度表等材料提交至学生所对应的答辩组资料收集负责人处，并由资料收集人负责人</w:t>
      </w:r>
      <w:r w:rsidR="00F23F97" w:rsidRPr="00F23F97">
        <w:rPr>
          <w:rFonts w:asciiTheme="minorEastAsia" w:hAnsiTheme="minorEastAsia" w:hint="eastAsia"/>
          <w:sz w:val="24"/>
          <w:szCs w:val="24"/>
        </w:rPr>
        <w:t xml:space="preserve">分送到各答辩组成员。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（责任人</w:t>
      </w:r>
      <w:r w:rsidR="002C2DCE">
        <w:rPr>
          <w:rFonts w:asciiTheme="minorEastAsia" w:hAnsiTheme="minorEastAsia" w:hint="eastAsia"/>
          <w:sz w:val="24"/>
          <w:szCs w:val="24"/>
        </w:rPr>
        <w:t>：指导教师、答辩组资料收集人</w:t>
      </w:r>
      <w:r w:rsidRPr="00F23F97">
        <w:rPr>
          <w:rFonts w:asciiTheme="minorEastAsia" w:hAnsiTheme="minorEastAsia" w:hint="eastAsia"/>
          <w:sz w:val="24"/>
          <w:szCs w:val="24"/>
        </w:rPr>
        <w:t xml:space="preserve">、答辩工作小组） </w:t>
      </w:r>
    </w:p>
    <w:p w:rsidR="00F23F97" w:rsidRDefault="00F23F97" w:rsidP="0041013A">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4.因我院实行指导教师与答辩教师独立评分原则，故在答辩完成前，答辩小组老师不能提前知晓指导教师所给分数，指导老师</w:t>
      </w:r>
      <w:r w:rsidR="0041013A">
        <w:rPr>
          <w:rFonts w:asciiTheme="minorEastAsia" w:hAnsiTheme="minorEastAsia" w:hint="eastAsia"/>
          <w:sz w:val="24"/>
          <w:szCs w:val="24"/>
        </w:rPr>
        <w:t>需将学生电子版论文隐去学生学号、姓名、指导老师后发送给答辩组组长老师。</w:t>
      </w:r>
    </w:p>
    <w:p w:rsidR="0041013A" w:rsidRPr="0041013A" w:rsidRDefault="0041013A" w:rsidP="0041013A">
      <w:pPr>
        <w:spacing w:line="360" w:lineRule="auto"/>
        <w:ind w:firstLineChars="200" w:firstLine="480"/>
        <w:rPr>
          <w:rFonts w:asciiTheme="minorEastAsia" w:hAnsiTheme="minorEastAsia"/>
          <w:sz w:val="24"/>
          <w:szCs w:val="24"/>
        </w:rPr>
      </w:pPr>
      <w:r w:rsidRPr="0041013A">
        <w:rPr>
          <w:rFonts w:asciiTheme="minorEastAsia" w:hAnsiTheme="minorEastAsia" w:hint="eastAsia"/>
          <w:sz w:val="24"/>
          <w:szCs w:val="24"/>
        </w:rPr>
        <w:t>5.</w:t>
      </w:r>
      <w:r w:rsidR="002C2DCE">
        <w:rPr>
          <w:rFonts w:asciiTheme="minorEastAsia" w:hAnsiTheme="minorEastAsia" w:hint="eastAsia"/>
          <w:sz w:val="24"/>
          <w:szCs w:val="24"/>
        </w:rPr>
        <w:t>各一辩答辩组老师应</w:t>
      </w:r>
      <w:r w:rsidRPr="0041013A">
        <w:rPr>
          <w:rFonts w:asciiTheme="minorEastAsia" w:hAnsiTheme="minorEastAsia" w:hint="eastAsia"/>
          <w:sz w:val="24"/>
          <w:szCs w:val="24"/>
        </w:rPr>
        <w:t>做</w:t>
      </w:r>
      <w:r w:rsidR="002C2DCE">
        <w:rPr>
          <w:rFonts w:asciiTheme="minorEastAsia" w:hAnsiTheme="minorEastAsia" w:hint="eastAsia"/>
          <w:sz w:val="24"/>
          <w:szCs w:val="24"/>
        </w:rPr>
        <w:t>好答辩准备：一辩资料收集负责人</w:t>
      </w:r>
      <w:r w:rsidRPr="0041013A">
        <w:rPr>
          <w:rFonts w:asciiTheme="minorEastAsia" w:hAnsiTheme="minorEastAsia" w:hint="eastAsia"/>
          <w:sz w:val="24"/>
          <w:szCs w:val="24"/>
        </w:rPr>
        <w:t>应组织本组答辩教师熟悉答辩论文内容、了解研究方向、总结发现问题，同时进行适当分工，为答辩做好充分准备；若答辩教师不熟悉答辩学生论文内容，需请教其他具有该领域专长的教师，但</w:t>
      </w:r>
      <w:r w:rsidR="002C2DCE">
        <w:rPr>
          <w:rFonts w:asciiTheme="minorEastAsia" w:hAnsiTheme="minorEastAsia" w:hint="eastAsia"/>
          <w:sz w:val="24"/>
          <w:szCs w:val="24"/>
        </w:rPr>
        <w:t>不得请教该论文的指导教师，主要考虑是为了避免利益冲突。答辩组资料收集人</w:t>
      </w:r>
      <w:r w:rsidRPr="0041013A">
        <w:rPr>
          <w:rFonts w:asciiTheme="minorEastAsia" w:hAnsiTheme="minorEastAsia" w:hint="eastAsia"/>
          <w:sz w:val="24"/>
          <w:szCs w:val="24"/>
        </w:rPr>
        <w:t xml:space="preserve">可申报服务性工作量，暂定为8小时。 </w:t>
      </w:r>
    </w:p>
    <w:p w:rsidR="0041013A" w:rsidRDefault="002C2DCE" w:rsidP="0041013A">
      <w:pPr>
        <w:spacing w:line="360" w:lineRule="auto"/>
        <w:rPr>
          <w:rFonts w:asciiTheme="minorEastAsia" w:hAnsiTheme="minorEastAsia"/>
          <w:sz w:val="24"/>
          <w:szCs w:val="24"/>
        </w:rPr>
      </w:pPr>
      <w:r>
        <w:rPr>
          <w:rFonts w:asciiTheme="minorEastAsia" w:hAnsiTheme="minorEastAsia" w:hint="eastAsia"/>
          <w:sz w:val="24"/>
          <w:szCs w:val="24"/>
        </w:rPr>
        <w:t>（责任人：答辩组资料收集人</w:t>
      </w:r>
      <w:r w:rsidR="0041013A" w:rsidRPr="0041013A">
        <w:rPr>
          <w:rFonts w:asciiTheme="minorEastAsia" w:hAnsiTheme="minorEastAsia" w:hint="eastAsia"/>
          <w:sz w:val="24"/>
          <w:szCs w:val="24"/>
        </w:rPr>
        <w:t>、答辩教师）</w:t>
      </w:r>
    </w:p>
    <w:p w:rsidR="0041013A" w:rsidRPr="00F23F97" w:rsidRDefault="0041013A" w:rsidP="0041013A">
      <w:pPr>
        <w:spacing w:line="360" w:lineRule="auto"/>
        <w:rPr>
          <w:rFonts w:asciiTheme="minorEastAsia" w:hAnsiTheme="minorEastAsia"/>
          <w:sz w:val="24"/>
          <w:szCs w:val="24"/>
        </w:rPr>
      </w:pPr>
      <w:r>
        <w:rPr>
          <w:rFonts w:asciiTheme="minorEastAsia" w:hAnsiTheme="minorEastAsia" w:hint="eastAsia"/>
          <w:sz w:val="24"/>
          <w:szCs w:val="24"/>
        </w:rPr>
        <w:t>（二）</w:t>
      </w:r>
      <w:r w:rsidRPr="0041013A">
        <w:rPr>
          <w:rFonts w:asciiTheme="minorEastAsia" w:hAnsiTheme="minorEastAsia" w:hint="eastAsia"/>
          <w:sz w:val="24"/>
          <w:szCs w:val="24"/>
        </w:rPr>
        <w:t>答辩过程及答辩后环节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1.按照《厦门大学嘉庚学院本科生毕业论文（设计）工作管理规定（2013 年7月修订）》，各答辩小组需保质保量完成一辩工作。答辩学生陈述时间及答辩老</w:t>
      </w:r>
      <w:r w:rsidRPr="00F23F97">
        <w:rPr>
          <w:rFonts w:asciiTheme="minorEastAsia" w:hAnsiTheme="minorEastAsia" w:hint="eastAsia"/>
          <w:sz w:val="24"/>
          <w:szCs w:val="24"/>
        </w:rPr>
        <w:lastRenderedPageBreak/>
        <w:t xml:space="preserve">师提问时间，不做统一规定，由各答辩组自行掌握，在规定的时间内保质保量完成任务。既尊重指导老师和答辩学生的辛勤劳动成果，也有针对性的提出完善论文的积极建议。 </w:t>
      </w:r>
    </w:p>
    <w:p w:rsidR="00F23F97" w:rsidRPr="00F23F97" w:rsidRDefault="00F23F97" w:rsidP="00F55DAE">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2. 每位答辩老师</w:t>
      </w:r>
      <w:r w:rsidR="00F55DAE">
        <w:rPr>
          <w:rFonts w:asciiTheme="minorEastAsia" w:hAnsiTheme="minorEastAsia" w:hint="eastAsia"/>
          <w:sz w:val="24"/>
          <w:szCs w:val="24"/>
        </w:rPr>
        <w:t>应</w:t>
      </w:r>
      <w:r w:rsidRPr="00F23F97">
        <w:rPr>
          <w:rFonts w:asciiTheme="minorEastAsia" w:hAnsiTheme="minorEastAsia" w:hint="eastAsia"/>
          <w:sz w:val="24"/>
          <w:szCs w:val="24"/>
        </w:rPr>
        <w:t>独立针对每一组论文学生小组整体给出一个分数</w:t>
      </w:r>
      <w:r w:rsidR="00F55DAE">
        <w:rPr>
          <w:rFonts w:asciiTheme="minorEastAsia" w:hAnsiTheme="minorEastAsia" w:hint="eastAsia"/>
          <w:sz w:val="24"/>
          <w:szCs w:val="24"/>
        </w:rPr>
        <w:t>（应尽量避免给出完全一样的分数）</w:t>
      </w:r>
      <w:r w:rsidRPr="00F23F97">
        <w:rPr>
          <w:rFonts w:asciiTheme="minorEastAsia" w:hAnsiTheme="minorEastAsia" w:hint="eastAsia"/>
          <w:sz w:val="24"/>
          <w:szCs w:val="24"/>
        </w:rPr>
        <w:t>，不针对</w:t>
      </w:r>
      <w:r w:rsidR="00F55DAE">
        <w:rPr>
          <w:rFonts w:asciiTheme="minorEastAsia" w:hAnsiTheme="minorEastAsia" w:hint="eastAsia"/>
          <w:sz w:val="24"/>
          <w:szCs w:val="24"/>
        </w:rPr>
        <w:t>每一位学生个别评分。</w:t>
      </w:r>
      <w:r w:rsidRPr="00F23F97">
        <w:rPr>
          <w:rFonts w:asciiTheme="minorEastAsia" w:hAnsiTheme="minorEastAsia" w:hint="eastAsia"/>
          <w:sz w:val="24"/>
          <w:szCs w:val="24"/>
        </w:rPr>
        <w:t>以三</w:t>
      </w:r>
      <w:r w:rsidR="00F50B0F">
        <w:rPr>
          <w:rFonts w:asciiTheme="minorEastAsia" w:hAnsiTheme="minorEastAsia" w:hint="eastAsia"/>
          <w:sz w:val="24"/>
          <w:szCs w:val="24"/>
        </w:rPr>
        <w:t>位答辩老师的平均分数作为该组最后的答辩分数。答辩结束后，三位答辩教师</w:t>
      </w:r>
      <w:r w:rsidRPr="00F23F97">
        <w:rPr>
          <w:rFonts w:asciiTheme="minorEastAsia" w:hAnsiTheme="minorEastAsia" w:hint="eastAsia"/>
          <w:sz w:val="24"/>
          <w:szCs w:val="24"/>
        </w:rPr>
        <w:t>需将答辩成绩与指导教师所给成绩按照各50%</w:t>
      </w:r>
      <w:r w:rsidR="00F50B0F">
        <w:rPr>
          <w:rFonts w:asciiTheme="minorEastAsia" w:hAnsiTheme="minorEastAsia" w:hint="eastAsia"/>
          <w:sz w:val="24"/>
          <w:szCs w:val="24"/>
        </w:rPr>
        <w:t>的权重计算出最终成绩，并转换成相应等级。答辩组</w:t>
      </w:r>
      <w:r w:rsidRPr="00F23F97">
        <w:rPr>
          <w:rFonts w:asciiTheme="minorEastAsia" w:hAnsiTheme="minorEastAsia" w:hint="eastAsia"/>
          <w:sz w:val="24"/>
          <w:szCs w:val="24"/>
        </w:rPr>
        <w:t xml:space="preserve">可以告知学生论文及格与否，但不允许告知其具体成绩和等级，并且在答辩过程注意毕业论文成绩保密工作。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（责任人：答辩教师、教学秘书、辅导员） </w:t>
      </w:r>
    </w:p>
    <w:p w:rsidR="00F23F97" w:rsidRP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3.</w:t>
      </w:r>
      <w:r w:rsidR="00F50B0F">
        <w:rPr>
          <w:rFonts w:asciiTheme="minorEastAsia" w:hAnsiTheme="minorEastAsia" w:hint="eastAsia"/>
          <w:sz w:val="24"/>
          <w:szCs w:val="24"/>
        </w:rPr>
        <w:t>在答辩中不能达到毕业论文要求的，答辩组资料收集人</w:t>
      </w:r>
      <w:r w:rsidRPr="00F23F97">
        <w:rPr>
          <w:rFonts w:asciiTheme="minorEastAsia" w:hAnsiTheme="minorEastAsia" w:hint="eastAsia"/>
          <w:sz w:val="24"/>
          <w:szCs w:val="24"/>
        </w:rPr>
        <w:t>需汇总参加二辩的学生名单，并提交至答辩工作小组负责人处, 同时</w:t>
      </w:r>
      <w:r w:rsidR="00F50B0F">
        <w:rPr>
          <w:rFonts w:asciiTheme="minorEastAsia" w:hAnsiTheme="minorEastAsia" w:hint="eastAsia"/>
          <w:sz w:val="24"/>
          <w:szCs w:val="24"/>
        </w:rPr>
        <w:t>将需要二辩的小组或者同学（单个指导）的进度表传递给二辩答辩组资料收集人</w:t>
      </w:r>
      <w:r w:rsidRPr="00F23F97">
        <w:rPr>
          <w:rFonts w:asciiTheme="minorEastAsia" w:hAnsiTheme="minorEastAsia" w:hint="eastAsia"/>
          <w:sz w:val="24"/>
          <w:szCs w:val="24"/>
        </w:rPr>
        <w:t xml:space="preserve">。按SAF毕业论文进度表要求，若答辩成绩为不及格，请注明原因，便于指导教师指导学生修改完善参加二辩。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（责任人：答辩教师、答辩工作小组） </w:t>
      </w:r>
    </w:p>
    <w:p w:rsid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4.</w:t>
      </w:r>
      <w:r w:rsidR="00F50B0F">
        <w:rPr>
          <w:rFonts w:asciiTheme="minorEastAsia" w:hAnsiTheme="minorEastAsia" w:hint="eastAsia"/>
          <w:sz w:val="24"/>
          <w:szCs w:val="24"/>
        </w:rPr>
        <w:t>一辩结束后，答辩组资料收集人需将通过答辩学生完整的毕业论文进度表等纸质</w:t>
      </w:r>
      <w:r w:rsidRPr="00F23F97">
        <w:rPr>
          <w:rFonts w:asciiTheme="minorEastAsia" w:hAnsiTheme="minorEastAsia" w:hint="eastAsia"/>
          <w:sz w:val="24"/>
          <w:szCs w:val="24"/>
        </w:rPr>
        <w:t xml:space="preserve">材料，返还至论文指导教师处。 </w:t>
      </w:r>
      <w:r w:rsidR="00F50B0F">
        <w:rPr>
          <w:rFonts w:asciiTheme="minorEastAsia" w:hAnsiTheme="minorEastAsia" w:hint="eastAsia"/>
          <w:sz w:val="24"/>
          <w:szCs w:val="24"/>
        </w:rPr>
        <w:t>（责任人：答辩组资料收集人</w:t>
      </w:r>
      <w:r w:rsidRPr="00F23F97">
        <w:rPr>
          <w:rFonts w:asciiTheme="minorEastAsia" w:hAnsiTheme="minorEastAsia" w:hint="eastAsia"/>
          <w:sz w:val="24"/>
          <w:szCs w:val="24"/>
        </w:rPr>
        <w:t>、指导教师）</w:t>
      </w:r>
    </w:p>
    <w:p w:rsidR="008F13F1" w:rsidRDefault="008F13F1" w:rsidP="008F13F1">
      <w:pPr>
        <w:spacing w:line="360" w:lineRule="auto"/>
        <w:rPr>
          <w:rFonts w:asciiTheme="minorEastAsia" w:hAnsiTheme="minorEastAsia"/>
          <w:b/>
          <w:sz w:val="24"/>
          <w:szCs w:val="24"/>
        </w:rPr>
      </w:pPr>
      <w:r>
        <w:rPr>
          <w:rFonts w:asciiTheme="minorEastAsia" w:hAnsiTheme="minorEastAsia" w:hint="eastAsia"/>
          <w:sz w:val="24"/>
          <w:szCs w:val="24"/>
        </w:rPr>
        <w:t>三、</w:t>
      </w:r>
      <w:r w:rsidRPr="008F13F1">
        <w:rPr>
          <w:rFonts w:asciiTheme="minorEastAsia" w:hAnsiTheme="minorEastAsia" w:hint="eastAsia"/>
          <w:b/>
          <w:sz w:val="24"/>
          <w:szCs w:val="24"/>
        </w:rPr>
        <w:t>答辩过程</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答辩过程包括自我介绍、答辩人陈述、提问与答辩三个环节。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1.自我介绍：包括组员的姓名、专业等基本信息。介绍时举止大方、态度端正、礼貌得体；论文小组成员必须全部参加答辩，经学院批准后的特殊情况除外。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3.提问与答辩：答辩教师的提问可安排在答辩人陈述之后，也可同步进行，答辩教师与学生互动交流，是相对灵活的一个环节。答辩教师在规定时间内可以针对论文相关内容进行提问，答辩人当场作答。</w:t>
      </w:r>
    </w:p>
    <w:p w:rsidR="008F13F1" w:rsidRPr="008F13F1" w:rsidRDefault="008F13F1" w:rsidP="008F13F1">
      <w:pPr>
        <w:spacing w:line="360" w:lineRule="auto"/>
        <w:rPr>
          <w:rFonts w:asciiTheme="minorEastAsia" w:hAnsiTheme="minorEastAsia"/>
          <w:b/>
          <w:sz w:val="24"/>
          <w:szCs w:val="24"/>
        </w:rPr>
      </w:pPr>
      <w:r w:rsidRPr="008F13F1">
        <w:rPr>
          <w:rFonts w:asciiTheme="minorEastAsia" w:hAnsiTheme="minorEastAsia" w:hint="eastAsia"/>
          <w:b/>
          <w:sz w:val="24"/>
          <w:szCs w:val="24"/>
        </w:rPr>
        <w:t xml:space="preserve">四、论文成绩评定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lastRenderedPageBreak/>
        <w:t>1.学生论文成绩：主要由两部分构成，第一部分来自指导老师，所占权重</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50%，指导老师可以针对所指导学生的平时表现，给予相同分数或不同分数；第二部分来自答辩组老师，所占权重50%，答辩老师在判定论文及格以上的情况下，所给成绩不得低于60分，且一组学生对应一个答辩成绩。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2．二辩环节：若一辩小组老师经讨论后，评定为不及格，则该组论文直接</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进入二辩环节。二辩老师评定的成绩，作为该论文的最终成绩，不再参考指导老师和一辩小组所给分数。成绩评定为“及格”与“不及格”。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3.二辩后补救机制：二辩结束后，论文成绩仍然评定为不及格，则该论文组同学可在征得指导老师的同意后，提交申诉申请书，说明不同意二辩成绩的理由，学院将组织论文申诉委员会对论文做最后的判定，论文最终的判定结果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4.最终成绩计算： </w:t>
      </w:r>
    </w:p>
    <w:p w:rsidR="008F13F1" w:rsidRPr="008F13F1" w:rsidRDefault="003B0078" w:rsidP="008F13F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答辩组资料收集人</w:t>
      </w:r>
      <w:r w:rsidR="008F13F1" w:rsidRPr="008F13F1">
        <w:rPr>
          <w:rFonts w:asciiTheme="minorEastAsia" w:hAnsiTheme="minorEastAsia" w:hint="eastAsia"/>
          <w:sz w:val="24"/>
          <w:szCs w:val="24"/>
        </w:rPr>
        <w:t>需将指导教师评定的成绩和答辩小组评定的成绩加权后计算出论文的最终分数，并转换成相应等级。具体为：</w:t>
      </w:r>
      <w:r w:rsidR="00292B80" w:rsidRPr="00292B80">
        <w:rPr>
          <w:rFonts w:asciiTheme="minorEastAsia" w:hAnsiTheme="minorEastAsia" w:hint="eastAsia"/>
          <w:sz w:val="24"/>
          <w:szCs w:val="24"/>
        </w:rPr>
        <w:t>若成绩审定小组认为论文属于优秀等级，请给90分-100分区间的分数；若属于良好等级，请给80分-89分区间的分数；若属于及格等级，请给60分-79分区间的分数；若属于不及格等级，请给59分及以下分数</w:t>
      </w:r>
      <w:r w:rsidR="008F13F1" w:rsidRPr="008F13F1">
        <w:rPr>
          <w:rFonts w:asciiTheme="minorEastAsia" w:hAnsiTheme="minorEastAsia" w:hint="eastAsia"/>
          <w:sz w:val="24"/>
          <w:szCs w:val="24"/>
        </w:rPr>
        <w:t xml:space="preserve">。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5.成绩评定规则：</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（1）优秀：出色完成毕业论文所规定的任务，获得结论或成果，论述清楚，有</w:t>
      </w:r>
      <w:bookmarkStart w:id="0" w:name="_GoBack"/>
      <w:bookmarkEnd w:id="0"/>
      <w:r w:rsidRPr="008F13F1">
        <w:rPr>
          <w:rFonts w:asciiTheme="minorEastAsia" w:hAnsiTheme="minorEastAsia" w:hint="eastAsia"/>
          <w:sz w:val="24"/>
          <w:szCs w:val="24"/>
        </w:rPr>
        <w:t xml:space="preserve">一定创见和学术价值，基本功扎实。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（2）良好：较好地完成毕业论文所规定的任务，获得结论或成果，论述清楚，基本功较扎实。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（3）及格：完成毕业论文所规定的任务，符合毕业论文的基本要求，在非主要方面存在一些缺陷或差错。 </w:t>
      </w:r>
    </w:p>
    <w:p w:rsid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（4）不及格：未能完成毕业论文所规定的要求与任务，有比较大的缺陷或错误。</w:t>
      </w:r>
    </w:p>
    <w:p w:rsidR="008F13F1" w:rsidRPr="008F13F1" w:rsidRDefault="008F13F1" w:rsidP="008F13F1">
      <w:pPr>
        <w:spacing w:line="360" w:lineRule="auto"/>
        <w:ind w:firstLineChars="100" w:firstLine="240"/>
        <w:rPr>
          <w:rFonts w:asciiTheme="minorEastAsia" w:hAnsiTheme="minorEastAsia"/>
          <w:sz w:val="24"/>
          <w:szCs w:val="24"/>
        </w:rPr>
      </w:pPr>
      <w:r>
        <w:rPr>
          <w:rFonts w:asciiTheme="minorEastAsia" w:hAnsiTheme="minorEastAsia" w:hint="eastAsia"/>
          <w:sz w:val="24"/>
          <w:szCs w:val="24"/>
        </w:rPr>
        <w:t>五、</w:t>
      </w:r>
      <w:r w:rsidRPr="008F13F1">
        <w:rPr>
          <w:rFonts w:asciiTheme="minorEastAsia" w:hAnsiTheme="minorEastAsia" w:hint="eastAsia"/>
          <w:b/>
          <w:sz w:val="24"/>
          <w:szCs w:val="24"/>
        </w:rPr>
        <w:t>论文成绩提交</w:t>
      </w:r>
      <w:r w:rsidRPr="008F13F1">
        <w:rPr>
          <w:rFonts w:asciiTheme="minorEastAsia" w:hAnsiTheme="minorEastAsia" w:hint="eastAsia"/>
          <w:sz w:val="24"/>
          <w:szCs w:val="24"/>
        </w:rPr>
        <w:t xml:space="preserve">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1. 成绩录入：一、二次答辩后，指导老师需将所指导学生的论文成绩汇</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总，并在规定时间内将指导学生最终成绩报给论文工作委员会，并由委员会汇</w:t>
      </w:r>
      <w:r w:rsidRPr="008F13F1">
        <w:rPr>
          <w:rFonts w:asciiTheme="minorEastAsia" w:hAnsiTheme="minorEastAsia" w:hint="eastAsia"/>
          <w:sz w:val="24"/>
          <w:szCs w:val="24"/>
        </w:rPr>
        <w:lastRenderedPageBreak/>
        <w:t xml:space="preserve">总上报至学校。 </w:t>
      </w:r>
    </w:p>
    <w:p w:rsidR="008F13F1" w:rsidRDefault="008F13F1" w:rsidP="00AE24EC">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（责任人：指导教师、教学秘书、论文工作委员会）</w:t>
      </w:r>
    </w:p>
    <w:p w:rsidR="00FA156B" w:rsidRPr="00FA156B" w:rsidRDefault="00FA156B" w:rsidP="00AE24EC">
      <w:pPr>
        <w:spacing w:line="360" w:lineRule="auto"/>
        <w:ind w:firstLineChars="100" w:firstLine="240"/>
        <w:rPr>
          <w:rFonts w:asciiTheme="minorEastAsia" w:hAnsiTheme="minorEastAsia"/>
          <w:sz w:val="24"/>
          <w:szCs w:val="24"/>
        </w:rPr>
      </w:pPr>
    </w:p>
    <w:sectPr w:rsidR="00FA156B" w:rsidRPr="00FA15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8C7" w:rsidRDefault="002D48C7" w:rsidP="00292B80">
      <w:r>
        <w:separator/>
      </w:r>
    </w:p>
  </w:endnote>
  <w:endnote w:type="continuationSeparator" w:id="0">
    <w:p w:rsidR="002D48C7" w:rsidRDefault="002D48C7" w:rsidP="0029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8C7" w:rsidRDefault="002D48C7" w:rsidP="00292B80">
      <w:r>
        <w:separator/>
      </w:r>
    </w:p>
  </w:footnote>
  <w:footnote w:type="continuationSeparator" w:id="0">
    <w:p w:rsidR="002D48C7" w:rsidRDefault="002D48C7" w:rsidP="0029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57B8D"/>
    <w:multiLevelType w:val="hybridMultilevel"/>
    <w:tmpl w:val="A69EACB2"/>
    <w:lvl w:ilvl="0" w:tplc="C0284E0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821358"/>
    <w:multiLevelType w:val="hybridMultilevel"/>
    <w:tmpl w:val="7FD23778"/>
    <w:lvl w:ilvl="0" w:tplc="911C5D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A8F1029"/>
    <w:multiLevelType w:val="hybridMultilevel"/>
    <w:tmpl w:val="68F632A8"/>
    <w:lvl w:ilvl="0" w:tplc="47CCB202">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F97"/>
    <w:rsid w:val="00292B80"/>
    <w:rsid w:val="002C2DCE"/>
    <w:rsid w:val="002D48C7"/>
    <w:rsid w:val="003B0078"/>
    <w:rsid w:val="0041013A"/>
    <w:rsid w:val="0059693F"/>
    <w:rsid w:val="005E1643"/>
    <w:rsid w:val="00651C17"/>
    <w:rsid w:val="007B2137"/>
    <w:rsid w:val="0087370A"/>
    <w:rsid w:val="008F13F1"/>
    <w:rsid w:val="00AE24EC"/>
    <w:rsid w:val="00D25BFB"/>
    <w:rsid w:val="00F23F97"/>
    <w:rsid w:val="00F50B0F"/>
    <w:rsid w:val="00F55DAE"/>
    <w:rsid w:val="00FA1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25CF"/>
  <w15:docId w15:val="{942A083F-F599-4190-B780-F63F505A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F97"/>
    <w:pPr>
      <w:ind w:firstLineChars="200" w:firstLine="420"/>
    </w:pPr>
  </w:style>
  <w:style w:type="paragraph" w:styleId="a4">
    <w:name w:val="header"/>
    <w:basedOn w:val="a"/>
    <w:link w:val="a5"/>
    <w:uiPriority w:val="99"/>
    <w:unhideWhenUsed/>
    <w:rsid w:val="00292B8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92B80"/>
    <w:rPr>
      <w:sz w:val="18"/>
      <w:szCs w:val="18"/>
    </w:rPr>
  </w:style>
  <w:style w:type="paragraph" w:styleId="a6">
    <w:name w:val="footer"/>
    <w:basedOn w:val="a"/>
    <w:link w:val="a7"/>
    <w:uiPriority w:val="99"/>
    <w:unhideWhenUsed/>
    <w:rsid w:val="00292B80"/>
    <w:pPr>
      <w:tabs>
        <w:tab w:val="center" w:pos="4153"/>
        <w:tab w:val="right" w:pos="8306"/>
      </w:tabs>
      <w:snapToGrid w:val="0"/>
      <w:jc w:val="left"/>
    </w:pPr>
    <w:rPr>
      <w:sz w:val="18"/>
      <w:szCs w:val="18"/>
    </w:rPr>
  </w:style>
  <w:style w:type="character" w:customStyle="1" w:styleId="a7">
    <w:name w:val="页脚 字符"/>
    <w:basedOn w:val="a0"/>
    <w:link w:val="a6"/>
    <w:uiPriority w:val="99"/>
    <w:rsid w:val="00292B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2025-04-16T04:05:00Z</dcterms:created>
  <dcterms:modified xsi:type="dcterms:W3CDTF">2026-04-12T05:36:00Z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984a7c5063885ba7bf538d1fef3650d28112f1831364e8e49d417f60fb48ddfb</vt:lpwstr>
  </property>
</Properties>
</file>